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9719" w:y="2533"/>
        <w:widowControl w:val="0"/>
        <w:rPr>
          <w:sz w:val="2"/>
          <w:szCs w:val="2"/>
        </w:rPr>
      </w:pPr>
      <w:r>
        <w:drawing>
          <wp:inline>
            <wp:extent cx="774065" cy="16154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74065" cy="1615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1448" w:h="1320" w:hRule="exact" w:wrap="none" w:vAnchor="page" w:hAnchor="page" w:x="4463" w:y="1400"/>
        <w:widowControl w:val="0"/>
        <w:shd w:val="clear" w:color="auto" w:fill="auto"/>
        <w:bidi w:val="0"/>
        <w:spacing w:before="0" w:after="0" w:line="240" w:lineRule="auto"/>
        <w:ind w:left="7344" w:right="14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ЗАТВЕРДЖУЮ</w:t>
      </w:r>
    </w:p>
    <w:p>
      <w:pPr>
        <w:pStyle w:val="Style2"/>
        <w:keepNext w:val="0"/>
        <w:keepLines w:val="0"/>
        <w:framePr w:w="11448" w:h="1320" w:hRule="exact" w:wrap="none" w:vAnchor="page" w:hAnchor="page" w:x="4463" w:y="1400"/>
        <w:widowControl w:val="0"/>
        <w:shd w:val="clear" w:color="auto" w:fill="auto"/>
        <w:bidi w:val="0"/>
        <w:spacing w:before="0" w:after="0" w:line="240" w:lineRule="auto"/>
        <w:ind w:left="7344" w:right="14" w:firstLine="664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Начальник Національного центру</w:t>
        <w:br/>
        <w:t>управління та випробувань</w:t>
        <w:br/>
        <w:t>космічних засобів</w:t>
      </w:r>
    </w:p>
    <w:p>
      <w:pPr>
        <w:pStyle w:val="Style5"/>
        <w:keepNext w:val="0"/>
        <w:keepLines w:val="0"/>
        <w:framePr w:wrap="none" w:vAnchor="page" w:hAnchor="page" w:x="11793" w:y="3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Володимир ПРИСЯЖНИЙ</w:t>
      </w:r>
    </w:p>
    <w:p>
      <w:pPr>
        <w:framePr w:wrap="none" w:vAnchor="page" w:hAnchor="page" w:x="11807" w:y="3517"/>
        <w:widowControl w:val="0"/>
        <w:rPr>
          <w:sz w:val="2"/>
          <w:szCs w:val="2"/>
        </w:rPr>
      </w:pPr>
      <w:r>
        <w:drawing>
          <wp:inline>
            <wp:extent cx="2103120" cy="78041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03120" cy="7804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1448" w:h="1570" w:hRule="exact" w:wrap="none" w:vAnchor="page" w:hAnchor="page" w:x="4463" w:y="6536"/>
        <w:widowControl w:val="0"/>
        <w:shd w:val="clear" w:color="auto" w:fill="auto"/>
        <w:bidi w:val="0"/>
        <w:spacing w:before="0" w:after="0" w:line="384" w:lineRule="auto"/>
        <w:ind w:left="360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ПЛАН</w:t>
      </w:r>
    </w:p>
    <w:p>
      <w:pPr>
        <w:pStyle w:val="Style2"/>
        <w:keepNext w:val="0"/>
        <w:keepLines w:val="0"/>
        <w:framePr w:w="11448" w:h="1570" w:hRule="exact" w:wrap="none" w:vAnchor="page" w:hAnchor="page" w:x="4463" w:y="6536"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діяльності служби з питань запобігання та виявлення корупції</w:t>
        <w:br/>
        <w:t>на 2025 рік</w:t>
      </w:r>
    </w:p>
    <w:p>
      <w:pPr>
        <w:pStyle w:val="Style2"/>
        <w:keepNext w:val="0"/>
        <w:keepLines w:val="0"/>
        <w:framePr w:wrap="none" w:vAnchor="page" w:hAnchor="page" w:x="4463" w:y="10606"/>
        <w:widowControl w:val="0"/>
        <w:shd w:val="clear" w:color="auto" w:fill="auto"/>
        <w:bidi w:val="0"/>
        <w:spacing w:before="0" w:after="0" w:line="240" w:lineRule="auto"/>
        <w:ind w:left="3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Київ - 2024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3901" w:h="360" w:hRule="exact" w:wrap="none" w:vAnchor="page" w:hAnchor="page" w:x="1603" w:y="1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Зміст</w:t>
      </w:r>
    </w:p>
    <w:p>
      <w:pPr>
        <w:pStyle w:val="Style7"/>
        <w:keepNext w:val="0"/>
        <w:keepLines w:val="0"/>
        <w:framePr w:w="13901" w:h="1507" w:hRule="exact" w:wrap="none" w:vAnchor="page" w:hAnchor="page" w:x="1603" w:y="2228"/>
        <w:widowControl w:val="0"/>
        <w:shd w:val="clear" w:color="auto" w:fill="auto"/>
        <w:tabs>
          <w:tab w:leader="dot" w:pos="13798" w:val="right"/>
        </w:tabs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Перелік умовних скорочень</w:t>
        <w:tab/>
        <w:t xml:space="preserve">  З</w:t>
      </w:r>
    </w:p>
    <w:p>
      <w:pPr>
        <w:pStyle w:val="Style7"/>
        <w:keepNext w:val="0"/>
        <w:keepLines w:val="0"/>
        <w:framePr w:w="13901" w:h="1507" w:hRule="exact" w:wrap="none" w:vAnchor="page" w:hAnchor="page" w:x="1603" w:y="2228"/>
        <w:widowControl w:val="0"/>
        <w:shd w:val="clear" w:color="auto" w:fill="auto"/>
        <w:tabs>
          <w:tab w:leader="dot" w:pos="8302" w:val="left"/>
          <w:tab w:leader="dot" w:pos="8514" w:val="left"/>
          <w:tab w:leader="dot" w:pos="13798" w:val="righ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Заходи, які плануються до виконання згідно напрямів діяльності</w:t>
        <w:tab/>
        <w:tab/>
        <w:tab/>
        <w:t>4</w:t>
      </w:r>
    </w:p>
    <w:p>
      <w:pPr>
        <w:pStyle w:val="Style7"/>
        <w:keepNext w:val="0"/>
        <w:keepLines w:val="0"/>
        <w:framePr w:w="13901" w:h="1507" w:hRule="exact" w:wrap="none" w:vAnchor="page" w:hAnchor="page" w:x="1603" w:y="2228"/>
        <w:widowControl w:val="0"/>
        <w:shd w:val="clear" w:color="auto" w:fill="auto"/>
        <w:tabs>
          <w:tab w:leader="dot" w:pos="13798" w:val="righ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Погодження Плану</w:t>
        <w:tab/>
        <w:t xml:space="preserve">    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3901" w:h="374" w:hRule="exact" w:wrap="none" w:vAnchor="page" w:hAnchor="page" w:x="1555" w:y="1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Перелік умовних скорочень</w:t>
      </w:r>
    </w:p>
    <w:p>
      <w:pPr>
        <w:pStyle w:val="Style2"/>
        <w:keepNext w:val="0"/>
        <w:keepLines w:val="0"/>
        <w:framePr w:w="13901" w:h="1901" w:hRule="exact" w:wrap="none" w:vAnchor="page" w:hAnchor="page" w:x="1555" w:y="206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ДКА - Державне космічне агентство;</w:t>
      </w:r>
    </w:p>
    <w:p>
      <w:pPr>
        <w:pStyle w:val="Style2"/>
        <w:keepNext w:val="0"/>
        <w:keepLines w:val="0"/>
        <w:framePr w:w="13901" w:h="1901" w:hRule="exact" w:wrap="none" w:vAnchor="page" w:hAnchor="page" w:x="1555" w:y="206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НЦУВКЗ - Національний центр управління та випробувань космічних засобів;</w:t>
      </w:r>
    </w:p>
    <w:p>
      <w:pPr>
        <w:pStyle w:val="Style2"/>
        <w:keepNext w:val="0"/>
        <w:keepLines w:val="0"/>
        <w:framePr w:w="13901" w:h="1901" w:hRule="exact" w:wrap="none" w:vAnchor="page" w:hAnchor="page" w:x="1555" w:y="206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СПЗВК - Служба з питань запобігання та виявлення корупції</w:t>
      </w:r>
    </w:p>
    <w:p>
      <w:pPr>
        <w:pStyle w:val="Style2"/>
        <w:keepNext w:val="0"/>
        <w:keepLines w:val="0"/>
        <w:framePr w:w="13901" w:h="1901" w:hRule="exact" w:wrap="none" w:vAnchor="page" w:hAnchor="page" w:x="1555" w:y="2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НАЗК - Національне агентство з питань запобігання корупції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5961" w:y="484"/>
        <w:widowControl w:val="0"/>
        <w:rPr>
          <w:sz w:val="2"/>
          <w:szCs w:val="2"/>
        </w:rPr>
      </w:pPr>
      <w:r>
        <w:drawing>
          <wp:inline>
            <wp:extent cx="3060065" cy="22542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60065" cy="225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framePr w:wrap="none" w:vAnchor="page" w:hAnchor="page" w:x="3431" w:y="1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Ровдід-1. Заходи, які плануються до виконання згідно з напрямами діяльності</w:t>
      </w:r>
    </w:p>
    <w:tbl>
      <w:tblPr>
        <w:tblOverlap w:val="never"/>
        <w:jc w:val="left"/>
        <w:tblLayout w:type="fixed"/>
      </w:tblPr>
      <w:tblGrid>
        <w:gridCol w:w="864"/>
        <w:gridCol w:w="8626"/>
        <w:gridCol w:w="1838"/>
        <w:gridCol w:w="2410"/>
        <w:gridCol w:w="1574"/>
      </w:tblGrid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Найменування заходу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Строки виконання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Відповідальний виконавець (співвиконавець)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14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Примітки</w:t>
            </w:r>
          </w:p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(стан виконання)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Підготовка, забезпечення та контроль за здійсненням заходів щодо запобігання корупції</w:t>
            </w: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Робота з повідомленнями про порушення вимог Закону України «Про запобігання корупції», які надійшли від викривачів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разі</w:t>
            </w:r>
          </w:p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надходження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038" w:wrap="none" w:vAnchor="page" w:hAnchor="page" w:x="767" w:y="1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Робота із зверненнями громадян та юридичних осіб щодо причетності посадових осіб НЦУВКЗ до вчинення корупційних правопорушень, їх розгляд та роз’яснення в межах компетенції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разі</w:t>
            </w:r>
          </w:p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надходження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038" w:wrap="none" w:vAnchor="page" w:hAnchor="page" w:x="767" w:y="1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Ознайомлення прийнятих працівників з Законом України «Про запобігання корупції» та попередження про відповідальність за його порушення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038" w:wrap="none" w:vAnchor="page" w:hAnchor="page" w:x="767" w:y="1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Надання методичної допомоги та проведення роз’яснювальної роботи з питань запобігання та виявлення корупції</w:t>
            </w: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Надання допомоги посадовим особам у практичному застосуванні вимог антикорупційного законодавства України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038" w:wrap="none" w:vAnchor="page" w:hAnchor="page" w:x="767" w:y="19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Проведення роз’яснювальної та профілактичної роботи з посадовими особами НЦУВКЗ та новоприйнятими посадовими особами з питань дотримання вимог законодавства України про запобігання та протидії проявам корупції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038" w:wrap="none" w:vAnchor="page" w:hAnchor="page" w:x="767" w:y="19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038" w:wrap="none" w:vAnchor="page" w:hAnchor="page" w:x="767" w:y="19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859"/>
        <w:gridCol w:w="8626"/>
        <w:gridCol w:w="1838"/>
        <w:gridCol w:w="2414"/>
        <w:gridCol w:w="1574"/>
      </w:tblGrid>
      <w:tr>
        <w:trPr>
          <w:trHeight w:val="15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tabs>
                <w:tab w:pos="1286" w:val="left"/>
                <w:tab w:pos="6912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</w:t>
              <w:tab/>
              <w:t>у навчально-методичних зборах з</w:t>
              <w:tab/>
              <w:t>керівниками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(представниками) уповноважених підрозділів з питань запобігання , виявлення та протидії корупції підприємств та організацій, які належать до сфери управління 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планом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у навчальних заходах Національного агентства з питань запобігання корупції, що стосуються питань запобігання та протидії корупції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за планом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НАЗК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Контроль дотримання антикорупційного законодавства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Здійснити у встановленому законодавством України перевірку своєчасності подання Е-декларацій окремими посадовими особами НЦУВКЗ за 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07.04.2025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Повідомити Національне агентство з питань запобігання корупції в разі встановлення фактів неподання чи несвоєчасного подання декларацій окремими посадовими особами НЦУВКЗ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10 діб у разі виявлення таких фактів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tabs>
                <w:tab w:pos="1262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Вести</w:t>
              <w:tab/>
              <w:t>облік посадових осіб НЦУВКЗ, які притягнуті до</w:t>
            </w:r>
          </w:p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відповідальності за вчинення корупційних правопорушень та правопорушень пов’язаних з корупцією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 разі виявлення таких фактів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Превентивні антикорупційні заходи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Візувати проекти нормативно-правових актів, організаційно- розпорядчих документів, що видаються НЦУВКЗ з метою виявлення чинників, що сприяють чи можуть сприяти вчиненню корупційних правопорушень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щоденно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2" w:h="9480" w:wrap="none" w:vAnchor="page" w:hAnchor="page" w:x="733" w:y="15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2" w:h="9480" w:wrap="none" w:vAnchor="page" w:hAnchor="page" w:x="733" w:y="15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5941" w:y="493"/>
        <w:widowControl w:val="0"/>
        <w:rPr>
          <w:sz w:val="2"/>
          <w:szCs w:val="2"/>
        </w:rPr>
      </w:pPr>
      <w:r>
        <w:drawing>
          <wp:inline>
            <wp:extent cx="3035935" cy="23177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035935" cy="23177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left"/>
        <w:tblLayout w:type="fixed"/>
      </w:tblPr>
      <w:tblGrid>
        <w:gridCol w:w="859"/>
        <w:gridCol w:w="8630"/>
        <w:gridCol w:w="1843"/>
        <w:gridCol w:w="2405"/>
        <w:gridCol w:w="1579"/>
      </w:tblGrid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Вживати заходів щодо виявлення конфлікту інтересів та сприятливих для вчинення корупційних правопорушень ризиків в діяльності посадових осіб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Виявляти сприятливі для вчинення корупційних правопорушень ризики в діяльності посадових осіб та внесення пропозицій щодо усунення таких ризиків та вносити начальнику НЦУВКЗ пропозиції щодо усунення таких ризиків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5.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в інформаційному забезпеченні здійснення заходів щодо запобігання та виявлення корупції, взаємодія з громадськістю, міжнародне співробітництво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Подати інформацію про заходи, що вживаються з виконання антикорупційного законодавства для розміщення на веб-сайті НЦУВКЗ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</w:t>
            </w:r>
          </w:p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Розглядати на нарадах керівного складу НЦУВКЗ питання про стан виконання законодавства про запобігання та протидії корупції, а також реалізації заходів щодо запобігання корупційним проявам та реагування на них, стан роботи зі скаргами та повідомленнями громадян у цій сфері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щотижнево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</w:t>
            </w:r>
          </w:p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Розмішувати в інформаційному куточку НЦУВКЗ матеріали щодо розширення знань посадових осіб з питань антикорупційного законодавства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протягом року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Подати начальнику відділу персоналу та запобігання і протидії корупції ДКА інформацію про виконання вимог антикорупційного законодавства та цього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до 25.12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17" w:h="9504" w:wrap="none" w:vAnchor="page" w:hAnchor="page" w:x="747" w:y="14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6.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17" w:h="9504" w:wrap="none" w:vAnchor="page" w:hAnchor="page" w:x="747" w:y="14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Інші функції та завдання відповідно до повноважень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10490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</w:t>
      </w:r>
    </w:p>
    <w:p>
      <w:pPr>
        <w:framePr w:wrap="none" w:vAnchor="page" w:hAnchor="page" w:x="741" w:y="216"/>
        <w:widowControl w:val="0"/>
      </w:pPr>
    </w:p>
    <w:tbl>
      <w:tblPr>
        <w:tblOverlap w:val="never"/>
        <w:jc w:val="left"/>
        <w:tblLayout w:type="fixed"/>
      </w:tblPr>
      <w:tblGrid>
        <w:gridCol w:w="874"/>
        <w:gridCol w:w="8630"/>
        <w:gridCol w:w="1843"/>
        <w:gridCol w:w="2405"/>
        <w:gridCol w:w="1579"/>
      </w:tblGrid>
      <w:tr>
        <w:trPr>
          <w:trHeight w:val="19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Організація та участь у зборах з начальниками кадрових служб НЦУВКЗ та філій одночасно зі зборами осіб, уповноважених на виконання функцій держави з питань антикорупційного законодавства, а також осіб відповідальних за питання соціального забезпечення військовослужбовців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II квартал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в оперативно-спеціальному зборі керівного складу НЦУВКЗ та філій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III квартал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у перевірці повсякденної діяльності та здатності виконувати завдання за призначенням в складі комісії НЦУВКЗ: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ЗЦРС (м. Мукачево)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ЦПОСІ та КНП (с. Залісці, Дунаєвецький р-н, Хмельницька обл.)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РЦСК (с. Ластівці, Кам’янець-Подільський р-н, Хмельницька обл.)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45" w:val="left"/>
              </w:tabs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квартал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666" w:val="left"/>
              </w:tabs>
              <w:bidi w:val="0"/>
              <w:spacing w:before="0" w:after="160" w:line="240" w:lineRule="auto"/>
              <w:ind w:left="0" w:right="0" w:firstLine="34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квартал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III квартал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331" w:h="8938" w:wrap="none" w:vAnchor="page" w:hAnchor="page" w:x="741" w:y="116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</w:pPr>
          </w:p>
        </w:tc>
      </w:tr>
      <w:tr>
        <w:trPr>
          <w:trHeight w:val="8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Контроль за усуненням недоліків виявлених в ході здійснення службових перевірок відокремлених підрозділів: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ЗЦРС (м. Мукачево)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ЦПОСІ та КНП (с. Залісці, Дунаєвецький р-н, Хмельницька обл.)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РЦСК (с. Ластівці, Кам’янець-Подільський р-н, Хмельницька обл.)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80" w:val="left"/>
              </w:tabs>
              <w:bidi w:val="0"/>
              <w:spacing w:before="0" w:after="160" w:line="240" w:lineRule="auto"/>
              <w:ind w:left="0" w:right="0" w:firstLine="34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квартал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666" w:val="left"/>
              </w:tabs>
              <w:bidi w:val="0"/>
              <w:spacing w:before="0" w:after="160" w:line="240" w:lineRule="auto"/>
              <w:ind w:left="0" w:right="0" w:firstLine="34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квартал</w:t>
            </w:r>
          </w:p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III квартал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5331" w:h="8938" w:wrap="none" w:vAnchor="page" w:hAnchor="page" w:x="741" w:y="116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</w:pP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у підготовці пропозицій до організаційно-штатної структури спзвк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01-30.12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1" w:h="8938" w:wrap="none" w:vAnchor="page" w:hAnchor="page" w:x="741" w:y="11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1" w:h="8938" w:wrap="none" w:vAnchor="page" w:hAnchor="page" w:x="741" w:y="116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5938" w:y="740"/>
        <w:widowControl w:val="0"/>
        <w:rPr>
          <w:sz w:val="2"/>
          <w:szCs w:val="2"/>
        </w:rPr>
      </w:pPr>
      <w:r>
        <w:drawing>
          <wp:inline>
            <wp:extent cx="164465" cy="21336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4465" cy="21336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left"/>
        <w:tblLayout w:type="fixed"/>
      </w:tblPr>
      <w:tblGrid>
        <w:gridCol w:w="864"/>
        <w:gridCol w:w="8650"/>
        <w:gridCol w:w="1843"/>
        <w:gridCol w:w="2405"/>
        <w:gridCol w:w="1574"/>
      </w:tblGrid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у заняттях з пожежної безпеки до дій працівників при надзвичайних ситуаціях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III квартал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6" w:h="1445" w:wrap="none" w:vAnchor="page" w:hAnchor="page" w:x="716" w:y="16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Участь у проведенні Дня Довкілля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18.04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5336" w:h="1445" w:wrap="none" w:vAnchor="page" w:hAnchor="page" w:x="716" w:y="1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uk-UA" w:eastAsia="uk-UA" w:bidi="uk-UA"/>
              </w:rPr>
              <w:t>Начальник СПЗВК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336" w:h="1445" w:wrap="none" w:vAnchor="page" w:hAnchor="page" w:x="716" w:y="168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"/>
        <w:keepNext w:val="0"/>
        <w:keepLines w:val="0"/>
        <w:framePr w:w="15336" w:h="696" w:hRule="exact" w:wrap="none" w:vAnchor="page" w:hAnchor="page" w:x="716" w:y="4105"/>
        <w:widowControl w:val="0"/>
        <w:shd w:val="clear" w:color="auto" w:fill="auto"/>
        <w:bidi w:val="0"/>
        <w:spacing w:before="0" w:after="0" w:line="240" w:lineRule="auto"/>
        <w:ind w:left="115" w:right="10277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Начальник служби з питань запобігання</w:t>
        <w:br/>
        <w:t>та виявлення корупції</w:t>
      </w:r>
    </w:p>
    <w:p>
      <w:pPr>
        <w:pStyle w:val="Style2"/>
        <w:keepNext w:val="0"/>
        <w:keepLines w:val="0"/>
        <w:framePr w:wrap="none" w:vAnchor="page" w:hAnchor="page" w:x="13887" w:y="4455"/>
        <w:widowControl w:val="0"/>
        <w:shd w:val="clear" w:color="auto" w:fill="auto"/>
        <w:bidi w:val="0"/>
        <w:spacing w:before="0" w:after="0" w:line="240" w:lineRule="auto"/>
        <w:ind w:left="15" w:right="14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Віктор Гурський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6552" w:h="1891" w:hRule="exact" w:wrap="none" w:vAnchor="page" w:hAnchor="page" w:x="1369" w:y="1378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ПОГОДЖЕННЯ:</w:t>
      </w:r>
    </w:p>
    <w:p>
      <w:pPr>
        <w:pStyle w:val="Style2"/>
        <w:keepNext w:val="0"/>
        <w:keepLines w:val="0"/>
        <w:framePr w:w="6552" w:h="1891" w:hRule="exact" w:wrap="none" w:vAnchor="page" w:hAnchor="page" w:x="1369" w:y="137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Перший заступник начальника Національного центру</w:t>
      </w:r>
    </w:p>
    <w:p>
      <w:pPr>
        <w:pStyle w:val="Style2"/>
        <w:keepNext w:val="0"/>
        <w:keepLines w:val="0"/>
        <w:framePr w:w="6552" w:h="1891" w:hRule="exact" w:wrap="none" w:vAnchor="page" w:hAnchor="page" w:x="1369" w:y="13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полковник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958" w:h="370" w:hRule="exact" w:wrap="none" w:vAnchor="page" w:hAnchor="page" w:x="4482" w:y="2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Андрій Жилков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</w:abstractNum>
  <w:abstractNum w:abstractNumId="2">
    <w:multiLevelType w:val="multilevel"/>
    <w:lvl w:ilvl="0">
      <w:start w:val="2"/>
      <w:numFmt w:val="upperRoman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Оглавлени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Колонтитул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Основной текст (4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Оглавление"/>
    <w:basedOn w:val="Normal"/>
    <w:link w:val="CharStyle8"/>
    <w:pPr>
      <w:widowControl w:val="0"/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Колонтитул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